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839BB1" w14:textId="77777777" w:rsidR="003D154C" w:rsidRPr="003D154C" w:rsidRDefault="003D154C" w:rsidP="003D15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54C">
        <w:rPr>
          <w:rFonts w:ascii="Times New Roman" w:hAnsi="Times New Roman" w:cs="Times New Roman"/>
          <w:b/>
          <w:bCs/>
          <w:sz w:val="28"/>
          <w:szCs w:val="28"/>
        </w:rPr>
        <w:t>A relação entre os §§ 9º e 13 do art. 129 do Código Penal e o Tema 1.197 do STJ</w:t>
      </w:r>
    </w:p>
    <w:p w14:paraId="0ECCD4B3" w14:textId="77777777" w:rsid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89E36" w14:textId="362D9C2A" w:rsidR="003D154C" w:rsidRPr="003D154C" w:rsidRDefault="003D154C" w:rsidP="003D15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O art. 129, § 9º, do Código Penal prevê a lesão corporal praticada no contexto de relações domésticas, familiares, de coabitação ou de hospitalidade. Sua redação não restringe expressamente o sujeito passivo ao gênero feminino: a lesão pode ser praticada contra ascendente, descendente, irmão, cônjuge, companheiro ou pessoa com quem o agente conviva ou tenha convivido. </w:t>
      </w:r>
    </w:p>
    <w:p w14:paraId="7EDA26F9" w14:textId="77777777" w:rsidR="003D154C" w:rsidRPr="003D154C" w:rsidRDefault="003D154C" w:rsidP="003D15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O § 13, por sua vez, criou uma figura específica para a lesão corporal praticada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contra a mulher por razões da condição do sexo feminino</w:t>
      </w:r>
      <w:r w:rsidRPr="003D154C">
        <w:rPr>
          <w:rFonts w:ascii="Times New Roman" w:hAnsi="Times New Roman" w:cs="Times New Roman"/>
          <w:sz w:val="24"/>
          <w:szCs w:val="24"/>
        </w:rPr>
        <w:t xml:space="preserve">. Atualmente, essa expressão remete às hipóteses de violência doméstica e familiar ou de menosprezo ou discriminação à condição de mulher. </w:t>
      </w:r>
    </w:p>
    <w:p w14:paraId="121628DA" w14:textId="77777777" w:rsidR="003D154C" w:rsidRPr="003D154C" w:rsidRDefault="003D154C" w:rsidP="003D15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54C">
        <w:rPr>
          <w:rFonts w:ascii="Times New Roman" w:hAnsi="Times New Roman" w:cs="Times New Roman"/>
          <w:b/>
          <w:bCs/>
          <w:sz w:val="24"/>
          <w:szCs w:val="24"/>
        </w:rPr>
        <w:t>1. Critério de distinção entre os parágrafos</w:t>
      </w:r>
    </w:p>
    <w:p w14:paraId="7729F98D" w14:textId="77777777" w:rsidR="003D154C" w:rsidRPr="003D154C" w:rsidRDefault="003D154C" w:rsidP="003D154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>A diferença central está no elemento que fundamenta a incidência da norma:</w:t>
      </w:r>
    </w:p>
    <w:p w14:paraId="20578592" w14:textId="77777777" w:rsidR="003D154C" w:rsidRPr="003D154C" w:rsidRDefault="003D154C" w:rsidP="003D154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o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§ 9º</w:t>
      </w:r>
      <w:r w:rsidRPr="003D154C">
        <w:rPr>
          <w:rFonts w:ascii="Times New Roman" w:hAnsi="Times New Roman" w:cs="Times New Roman"/>
          <w:sz w:val="24"/>
          <w:szCs w:val="24"/>
        </w:rPr>
        <w:t xml:space="preserve"> considera o contexto doméstico, familiar, de coabitação ou hospitalidade;</w:t>
      </w:r>
    </w:p>
    <w:p w14:paraId="58ABE284" w14:textId="77777777" w:rsidR="003D154C" w:rsidRPr="003D154C" w:rsidRDefault="003D154C" w:rsidP="003D154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o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Pr="003D154C">
        <w:rPr>
          <w:rFonts w:ascii="Times New Roman" w:hAnsi="Times New Roman" w:cs="Times New Roman"/>
          <w:sz w:val="24"/>
          <w:szCs w:val="24"/>
        </w:rPr>
        <w:t xml:space="preserve"> acrescenta a condição de a vítima ser mulher e de a violência decorrer de razões relacionadas ao gênero.</w:t>
      </w:r>
    </w:p>
    <w:p w14:paraId="551DCFCC" w14:textId="77777777" w:rsidR="003D154C" w:rsidRPr="003D154C" w:rsidRDefault="003D154C" w:rsidP="003D154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Assim, quando a vítima é mulher e a lesão ocorre no contexto de violência doméstica e familiar baseada no gênero, o § 13 funciona como figura especial, afastando a aplicação do § 9º pelo princípio da especialidade. A jurisprudência tem reconhecido que, nessa situação, não se deve simplesmente aplicar o § 9º. </w:t>
      </w:r>
    </w:p>
    <w:p w14:paraId="73B9A9E3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>O § 9º, contudo, continua tendo campo próprio, especialmente quando a vítima é homem. Também pode haver discussão sobre sua aplicação à mulher quando não estiver caracterizada a circunstância especial relacionada às razões da condição do sexo feminino, embora a definição concreta dependa dos fatos e da prova produzida.</w:t>
      </w:r>
    </w:p>
    <w:p w14:paraId="34B74F12" w14:textId="77777777" w:rsidR="003D154C" w:rsidRPr="003D154C" w:rsidRDefault="003D154C" w:rsidP="003D15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54C">
        <w:rPr>
          <w:rFonts w:ascii="Times New Roman" w:hAnsi="Times New Roman" w:cs="Times New Roman"/>
          <w:b/>
          <w:bCs/>
          <w:sz w:val="24"/>
          <w:szCs w:val="24"/>
        </w:rPr>
        <w:t>2. O conteúdo do Tema 1.197 do STJ</w:t>
      </w:r>
    </w:p>
    <w:p w14:paraId="776124B3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No Tema Repetitivo 1.197, o STJ fixou a tese de que a aplicação da agravante do art. 61, II, “f”, do Código Penal, conjuntamente com as disposições da Lei Maria da Penha,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não configura bis in idem</w:t>
      </w:r>
      <w:r w:rsidRPr="003D15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C9EBF3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>A razão está na distinção entre os elementos analisados:</w:t>
      </w:r>
    </w:p>
    <w:p w14:paraId="316DAC1C" w14:textId="77777777" w:rsidR="003D154C" w:rsidRPr="003D154C" w:rsidRDefault="003D154C" w:rsidP="003D154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o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art. 129, § 9º</w:t>
      </w:r>
      <w:r w:rsidRPr="003D154C">
        <w:rPr>
          <w:rFonts w:ascii="Times New Roman" w:hAnsi="Times New Roman" w:cs="Times New Roman"/>
          <w:sz w:val="24"/>
          <w:szCs w:val="24"/>
        </w:rPr>
        <w:t>, considera a existência de uma relação doméstica, familiar, de coabitação ou hospitalidade;</w:t>
      </w:r>
    </w:p>
    <w:p w14:paraId="5770780D" w14:textId="77777777" w:rsidR="003D154C" w:rsidRPr="003D154C" w:rsidRDefault="003D154C" w:rsidP="003D154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a agravante do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art. 61, II, “f”</w:t>
      </w:r>
      <w:r w:rsidRPr="003D154C">
        <w:rPr>
          <w:rFonts w:ascii="Times New Roman" w:hAnsi="Times New Roman" w:cs="Times New Roman"/>
          <w:sz w:val="24"/>
          <w:szCs w:val="24"/>
        </w:rPr>
        <w:t xml:space="preserve">, permite maior punição quando o crime é praticado com violência contra a mulher ou prevalecendo-se dessas relações, conforme a lei específica. </w:t>
      </w:r>
    </w:p>
    <w:p w14:paraId="10BA6850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Para o STJ, no crime do § 9º, a condição de a vítima ser mulher não constitui elemento necessário do tipo. Por isso, a agravante pode incidir na segunda fase da dosimetria quando a vítima for mulher, sem repetição indevida da mesma circunstância. </w:t>
      </w:r>
    </w:p>
    <w:p w14:paraId="5A407384" w14:textId="77777777" w:rsidR="003D154C" w:rsidRPr="003D154C" w:rsidRDefault="003D154C" w:rsidP="003D154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54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Limites do Tema 1.197 em relação ao § 13</w:t>
      </w:r>
    </w:p>
    <w:p w14:paraId="759C8077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>O Tema 1.197 não autoriza automaticamente a aplicação da agravante do art. 61, II, “f”, ao crime do art. 129, § 13.</w:t>
      </w:r>
    </w:p>
    <w:p w14:paraId="0FF95C8E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No § 13, a violência contra a mulher por razões da condição do sexo feminino já integra a própria descrição típica. Portanto, utilizar novamente essa mesma circunstância para aplicar a agravante genérica pode gerar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bis in idem</w:t>
      </w:r>
      <w:r w:rsidRPr="003D154C">
        <w:rPr>
          <w:rFonts w:ascii="Times New Roman" w:hAnsi="Times New Roman" w:cs="Times New Roman"/>
          <w:sz w:val="24"/>
          <w:szCs w:val="24"/>
        </w:rPr>
        <w:t xml:space="preserve">. Esse é o entendimento adotado em julgados que distinguem o § 13 do § 9º. </w:t>
      </w:r>
    </w:p>
    <w:p w14:paraId="6C6068DC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>Em síntese:</w:t>
      </w:r>
    </w:p>
    <w:p w14:paraId="49A39F61" w14:textId="77777777" w:rsidR="003D154C" w:rsidRPr="003D154C" w:rsidRDefault="003D154C" w:rsidP="003D154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b/>
          <w:bCs/>
          <w:sz w:val="24"/>
          <w:szCs w:val="24"/>
        </w:rPr>
        <w:t>art. 129, § 9º + vítima mulher:</w:t>
      </w:r>
      <w:r w:rsidRPr="003D154C">
        <w:rPr>
          <w:rFonts w:ascii="Times New Roman" w:hAnsi="Times New Roman" w:cs="Times New Roman"/>
          <w:sz w:val="24"/>
          <w:szCs w:val="24"/>
        </w:rPr>
        <w:t xml:space="preserve"> pode incidir a agravante do art. 61, II, “f”, conforme o Tema 1.197, desde que a circunstância não tenha sido utilizada anteriormente;</w:t>
      </w:r>
    </w:p>
    <w:p w14:paraId="252635F7" w14:textId="77777777" w:rsidR="003D154C" w:rsidRPr="003D154C" w:rsidRDefault="003D154C" w:rsidP="003D154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b/>
          <w:bCs/>
          <w:sz w:val="24"/>
          <w:szCs w:val="24"/>
        </w:rPr>
        <w:t>art. 129, § 13:</w:t>
      </w:r>
      <w:r w:rsidRPr="003D154C">
        <w:rPr>
          <w:rFonts w:ascii="Times New Roman" w:hAnsi="Times New Roman" w:cs="Times New Roman"/>
          <w:sz w:val="24"/>
          <w:szCs w:val="24"/>
        </w:rPr>
        <w:t xml:space="preserve"> a condição feminina e a violência de gênero já são elementos do tipo, razão pela qual a mesma circunstância não deve ser novamente empregada como agravante;</w:t>
      </w:r>
    </w:p>
    <w:p w14:paraId="45F10385" w14:textId="77777777" w:rsidR="003D154C" w:rsidRPr="003D154C" w:rsidRDefault="003D154C" w:rsidP="003D154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b/>
          <w:bCs/>
          <w:sz w:val="24"/>
          <w:szCs w:val="24"/>
        </w:rPr>
        <w:t>art. 129, §§ 1º ou 2º, em contexto doméstico:</w:t>
      </w:r>
      <w:r w:rsidRPr="003D154C">
        <w:rPr>
          <w:rFonts w:ascii="Times New Roman" w:hAnsi="Times New Roman" w:cs="Times New Roman"/>
          <w:sz w:val="24"/>
          <w:szCs w:val="24"/>
        </w:rPr>
        <w:t xml:space="preserve"> o art. 129, § 10, prevê aumento de um terço para as lesões graves, gravíssimas ou seguidas de morte quando presentes as circunstâncias do § 9º. </w:t>
      </w:r>
    </w:p>
    <w:p w14:paraId="4A20E766" w14:textId="77777777" w:rsidR="003D154C" w:rsidRPr="003D154C" w:rsidRDefault="003D154C" w:rsidP="003D154C">
      <w:pPr>
        <w:jc w:val="both"/>
        <w:rPr>
          <w:rFonts w:ascii="Times New Roman" w:hAnsi="Times New Roman" w:cs="Times New Roman"/>
          <w:sz w:val="24"/>
          <w:szCs w:val="24"/>
        </w:rPr>
      </w:pPr>
      <w:r w:rsidRPr="003D154C">
        <w:rPr>
          <w:rFonts w:ascii="Times New Roman" w:hAnsi="Times New Roman" w:cs="Times New Roman"/>
          <w:sz w:val="24"/>
          <w:szCs w:val="24"/>
        </w:rPr>
        <w:t xml:space="preserve">O Tema 1.197, portanto, não trata de uma autorização geral para duplicar a valoração da violência doméstica. Ele resolve especificamente a compatibilidade entre o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§ 9º do art. 129</w:t>
      </w:r>
      <w:r w:rsidRPr="003D154C">
        <w:rPr>
          <w:rFonts w:ascii="Times New Roman" w:hAnsi="Times New Roman" w:cs="Times New Roman"/>
          <w:sz w:val="24"/>
          <w:szCs w:val="24"/>
        </w:rPr>
        <w:t xml:space="preserve"> e a agravante do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art. 61, II, “f”</w:t>
      </w:r>
      <w:r w:rsidRPr="003D154C">
        <w:rPr>
          <w:rFonts w:ascii="Times New Roman" w:hAnsi="Times New Roman" w:cs="Times New Roman"/>
          <w:sz w:val="24"/>
          <w:szCs w:val="24"/>
        </w:rPr>
        <w:t xml:space="preserve">, distinção que não deve ser automaticamente transportada para o </w:t>
      </w:r>
      <w:r w:rsidRPr="003D154C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Pr="003D154C">
        <w:rPr>
          <w:rFonts w:ascii="Times New Roman" w:hAnsi="Times New Roman" w:cs="Times New Roman"/>
          <w:sz w:val="24"/>
          <w:szCs w:val="24"/>
        </w:rPr>
        <w:t>.</w:t>
      </w:r>
    </w:p>
    <w:p w14:paraId="2DD1AFB6" w14:textId="77777777" w:rsidR="002D706C" w:rsidRDefault="002D706C"/>
    <w:sectPr w:rsidR="002D70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EA43CE"/>
    <w:multiLevelType w:val="multilevel"/>
    <w:tmpl w:val="E9C2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014AC"/>
    <w:multiLevelType w:val="multilevel"/>
    <w:tmpl w:val="71A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90721"/>
    <w:multiLevelType w:val="multilevel"/>
    <w:tmpl w:val="760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977427">
    <w:abstractNumId w:val="2"/>
  </w:num>
  <w:num w:numId="2" w16cid:durableId="1113548513">
    <w:abstractNumId w:val="1"/>
  </w:num>
  <w:num w:numId="3" w16cid:durableId="3584331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4C"/>
    <w:rsid w:val="002D706C"/>
    <w:rsid w:val="003D154C"/>
    <w:rsid w:val="00526DE9"/>
    <w:rsid w:val="00632382"/>
    <w:rsid w:val="007A3D1E"/>
    <w:rsid w:val="0087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99A8"/>
  <w15:chartTrackingRefBased/>
  <w15:docId w15:val="{A6D5AF1F-0548-40EC-B7FB-1740F7A3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1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1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1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1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1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1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1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1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1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1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1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1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15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15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15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15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15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15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1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1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1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1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1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15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15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15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1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15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15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644</Words>
  <Characters>3141</Characters>
  <Application>Microsoft Office Word</Application>
  <DocSecurity>0</DocSecurity>
  <Lines>59</Lines>
  <Paragraphs>23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 Mendonça</dc:creator>
  <cp:keywords/>
  <dc:description/>
  <cp:lastModifiedBy>Tarcisio Mendonça</cp:lastModifiedBy>
  <cp:revision>2</cp:revision>
  <dcterms:created xsi:type="dcterms:W3CDTF">2026-08-26T19:55:00Z</dcterms:created>
  <dcterms:modified xsi:type="dcterms:W3CDTF">2026-08-26T19:55:00Z</dcterms:modified>
</cp:coreProperties>
</file>